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2264"/>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76233B" w:rsidP="0076233B">
            <w:pPr>
              <w:spacing w:after="0" w:line="259" w:lineRule="auto"/>
              <w:ind w:left="0" w:right="0" w:firstLine="0"/>
            </w:pPr>
            <w:bookmarkStart w:id="0" w:name="_GoBack"/>
            <w:bookmarkEnd w:id="0"/>
            <w:r>
              <w:rPr>
                <w:noProof/>
                <w:lang w:val="en-IE" w:eastAsia="en-IE"/>
              </w:rPr>
              <w:drawing>
                <wp:inline distT="0" distB="0" distL="0" distR="0">
                  <wp:extent cx="1249680" cy="1249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0cOjf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680" cy="1249680"/>
                          </a:xfrm>
                          <a:prstGeom prst="rect">
                            <a:avLst/>
                          </a:prstGeom>
                        </pic:spPr>
                      </pic:pic>
                    </a:graphicData>
                  </a:graphic>
                </wp:inline>
              </w:drawing>
            </w:r>
          </w:p>
        </w:tc>
      </w:tr>
    </w:tbl>
    <w:p w:rsidR="008D09DE" w:rsidRPr="008D09DE" w:rsidRDefault="008D09DE" w:rsidP="008D09DE">
      <w:pPr>
        <w:spacing w:after="73" w:line="259" w:lineRule="auto"/>
        <w:ind w:right="0"/>
        <w:jc w:val="center"/>
        <w:rPr>
          <w:sz w:val="77"/>
          <w:szCs w:val="77"/>
        </w:rPr>
      </w:pPr>
      <w:r>
        <w:rPr>
          <w:noProof/>
          <w:lang w:val="en-IE" w:eastAsia="en-IE"/>
        </w:rPr>
        <w:lastRenderedPageBreak/>
        <w:drawing>
          <wp:anchor distT="0" distB="0" distL="114300" distR="114300" simplePos="0" relativeHeight="251658240" behindDoc="1" locked="0" layoutInCell="1" allowOverlap="0" wp14:anchorId="525A33A4" wp14:editId="697BF6BD">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7"/>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76233B" w:rsidRDefault="0076233B" w:rsidP="008D09DE">
      <w:pPr>
        <w:ind w:left="0" w:firstLine="0"/>
        <w:rPr>
          <w:b/>
          <w:sz w:val="23"/>
          <w:szCs w:val="23"/>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 xml:space="preserve">amogie, Handball and </w:t>
      </w:r>
      <w:proofErr w:type="spellStart"/>
      <w:r w:rsidR="00571A9E" w:rsidRPr="008D09DE">
        <w:rPr>
          <w:b/>
          <w:sz w:val="23"/>
          <w:szCs w:val="23"/>
        </w:rPr>
        <w:t>Rounders</w:t>
      </w:r>
      <w:proofErr w:type="spellEnd"/>
      <w:r w:rsidR="00571A9E" w:rsidRPr="008D09DE">
        <w:rPr>
          <w:b/>
          <w:sz w:val="23"/>
          <w:szCs w:val="23"/>
        </w:rPr>
        <w:t>)</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proofErr w:type="gramStart"/>
      <w:r w:rsidRPr="008D09DE">
        <w:rPr>
          <w:b/>
          <w:sz w:val="23"/>
          <w:szCs w:val="23"/>
        </w:rPr>
        <w:t>in</w:t>
      </w:r>
      <w:proofErr w:type="gramEnd"/>
      <w:r w:rsidRPr="008D09DE">
        <w:rPr>
          <w:b/>
          <w:sz w:val="23"/>
          <w:szCs w:val="23"/>
        </w:rPr>
        <w:t xml:space="preserve">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 xml:space="preserve">and </w:t>
      </w:r>
      <w:proofErr w:type="gramStart"/>
      <w:r w:rsidR="00571A9E" w:rsidRPr="008D09DE">
        <w:rPr>
          <w:b/>
          <w:sz w:val="23"/>
          <w:szCs w:val="23"/>
        </w:rPr>
        <w:t>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w:t>
      </w:r>
      <w:proofErr w:type="gramEnd"/>
      <w:r w:rsidR="00571A9E" w:rsidRPr="008D09DE">
        <w:rPr>
          <w:sz w:val="23"/>
          <w:szCs w:val="23"/>
        </w:rPr>
        <w:t xml:space="preserve">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proofErr w:type="gramStart"/>
      <w:r w:rsidRPr="008D09DE">
        <w:rPr>
          <w:b/>
          <w:sz w:val="23"/>
          <w:szCs w:val="23"/>
        </w:rPr>
        <w:t>legislative</w:t>
      </w:r>
      <w:proofErr w:type="gramEnd"/>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proofErr w:type="gramStart"/>
      <w:r w:rsidRPr="008D09DE">
        <w:rPr>
          <w:b/>
          <w:sz w:val="23"/>
          <w:szCs w:val="23"/>
        </w:rPr>
        <w:t>binding</w:t>
      </w:r>
      <w:proofErr w:type="gramEnd"/>
      <w:r w:rsidRPr="008D09DE">
        <w:rPr>
          <w:b/>
          <w:sz w:val="23"/>
          <w:szCs w:val="23"/>
        </w:rPr>
        <w:t xml:space="preserve">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proofErr w:type="gramStart"/>
      <w:r w:rsidRPr="008D09DE">
        <w:rPr>
          <w:b/>
          <w:sz w:val="23"/>
          <w:szCs w:val="23"/>
        </w:rPr>
        <w:t>Associations.</w:t>
      </w:r>
      <w:proofErr w:type="gramEnd"/>
      <w:r w:rsidR="00571A9E" w:rsidRPr="00FB5597">
        <w:rPr>
          <w:b/>
          <w:sz w:val="24"/>
          <w:szCs w:val="24"/>
        </w:rPr>
        <w:tab/>
      </w:r>
      <w:r w:rsidR="00FB5597" w:rsidRPr="00FB5597">
        <w:rPr>
          <w:b/>
          <w:sz w:val="24"/>
          <w:szCs w:val="24"/>
        </w:rPr>
        <w:t xml:space="preserve">                      </w:t>
      </w:r>
      <w:proofErr w:type="gramStart"/>
      <w:r w:rsidR="00571A9E" w:rsidRPr="00FB5597">
        <w:rPr>
          <w:sz w:val="24"/>
          <w:szCs w:val="24"/>
        </w:rPr>
        <w:t>the</w:t>
      </w:r>
      <w:proofErr w:type="gramEnd"/>
      <w:r w:rsidR="00571A9E" w:rsidRPr="00FB5597">
        <w:rPr>
          <w:sz w:val="24"/>
          <w:szCs w:val="24"/>
        </w:rPr>
        <w:t xml:space="preserv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lastRenderedPageBreak/>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proofErr w:type="spellStart"/>
      <w:r>
        <w:rPr>
          <w:i/>
        </w:rPr>
        <w:t>Tusla’s</w:t>
      </w:r>
      <w:proofErr w:type="spellEnd"/>
      <w:r>
        <w:rPr>
          <w:i/>
        </w:rPr>
        <w:t xml:space="preserve">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lastRenderedPageBreak/>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w:t>
      </w:r>
      <w:proofErr w:type="gramStart"/>
      <w:r w:rsidR="00903F1C" w:rsidRPr="000A39D8">
        <w:rPr>
          <w:sz w:val="22"/>
        </w:rPr>
        <w:t>)¹</w:t>
      </w:r>
      <w:proofErr w:type="gramEnd"/>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treatment</w:t>
      </w:r>
      <w:proofErr w:type="gramEnd"/>
      <w:r w:rsidRPr="000A39D8">
        <w:rPr>
          <w:sz w:val="23"/>
          <w:szCs w:val="23"/>
        </w:rPr>
        <w:t xml:space="preserve">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manner</w:t>
      </w:r>
      <w:proofErr w:type="gramEnd"/>
      <w:r w:rsidRPr="000A39D8">
        <w:rPr>
          <w:sz w:val="23"/>
          <w:szCs w:val="23"/>
        </w:rPr>
        <w:t xml:space="preserve">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proofErr w:type="gramStart"/>
      <w:r w:rsidRPr="000A39D8">
        <w:rPr>
          <w:sz w:val="23"/>
          <w:szCs w:val="23"/>
        </w:rPr>
        <w:t>likely</w:t>
      </w:r>
      <w:proofErr w:type="gramEnd"/>
      <w:r w:rsidRPr="000A39D8">
        <w:rPr>
          <w:sz w:val="23"/>
          <w:szCs w:val="23"/>
        </w:rPr>
        <w:t xml:space="preserve">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proofErr w:type="gramStart"/>
      <w:r w:rsidRPr="000A39D8">
        <w:rPr>
          <w:sz w:val="23"/>
          <w:szCs w:val="23"/>
        </w:rPr>
        <w:t>health</w:t>
      </w:r>
      <w:proofErr w:type="gramEnd"/>
      <w:r w:rsidRPr="000A39D8">
        <w:rPr>
          <w:sz w:val="23"/>
          <w:szCs w:val="23"/>
        </w:rPr>
        <w:t>,</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proofErr w:type="gramStart"/>
      <w:r w:rsidRPr="000A39D8">
        <w:rPr>
          <w:sz w:val="23"/>
          <w:szCs w:val="23"/>
        </w:rPr>
        <w:t>welfare</w:t>
      </w:r>
      <w:proofErr w:type="gramEnd"/>
      <w:r w:rsidRPr="000A39D8">
        <w:rPr>
          <w:sz w:val="23"/>
          <w:szCs w:val="23"/>
        </w:rPr>
        <w:t xml:space="preserv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of</w:t>
      </w:r>
      <w:proofErr w:type="gramEnd"/>
      <w:r w:rsidR="00935554" w:rsidRPr="00CB0DE8">
        <w:rPr>
          <w:sz w:val="23"/>
          <w:szCs w:val="23"/>
        </w:rPr>
        <w:t xml:space="preserve">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1F7E51" w:rsidRPr="00CB0DE8">
        <w:rPr>
          <w:sz w:val="23"/>
          <w:szCs w:val="23"/>
        </w:rPr>
        <w:t>non-member</w:t>
      </w:r>
      <w:proofErr w:type="gramEnd"/>
      <w:r w:rsidR="00935554" w:rsidRPr="00CB0DE8">
        <w:rPr>
          <w:sz w:val="23"/>
          <w:szCs w:val="23"/>
        </w:rPr>
        <w:t xml:space="preserve"> or staff or volunteer of a child </w:t>
      </w:r>
      <w:r w:rsidR="00A559AA">
        <w:rPr>
          <w:sz w:val="23"/>
          <w:szCs w:val="23"/>
        </w:rPr>
        <w:t xml:space="preserve">                              Association, </w:t>
      </w:r>
      <w:proofErr w:type="spellStart"/>
      <w:r w:rsidR="00A559AA">
        <w:rPr>
          <w:sz w:val="23"/>
          <w:szCs w:val="23"/>
        </w:rPr>
        <w:t>Tusla</w:t>
      </w:r>
      <w:proofErr w:type="spellEnd"/>
      <w:r w:rsidR="00A559AA">
        <w:rPr>
          <w:sz w:val="23"/>
          <w:szCs w:val="23"/>
        </w:rPr>
        <w:t xml:space="preserve">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proofErr w:type="gramStart"/>
      <w:r w:rsidR="00935554" w:rsidRPr="00CB0DE8">
        <w:rPr>
          <w:sz w:val="23"/>
          <w:szCs w:val="23"/>
        </w:rPr>
        <w:t>availing</w:t>
      </w:r>
      <w:proofErr w:type="gramEnd"/>
      <w:r w:rsidR="00935554" w:rsidRPr="00CB0DE8">
        <w:rPr>
          <w:sz w:val="23"/>
          <w:szCs w:val="23"/>
        </w:rPr>
        <w:t xml:space="preserve">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selection</w:t>
      </w:r>
      <w:proofErr w:type="gramEnd"/>
      <w:r w:rsidRPr="00A559AA">
        <w:rPr>
          <w:sz w:val="23"/>
          <w:szCs w:val="23"/>
        </w:rPr>
        <w:t xml:space="preserve">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t>
      </w:r>
      <w:proofErr w:type="gramStart"/>
      <w:r w:rsidRPr="00A559AA">
        <w:rPr>
          <w:sz w:val="23"/>
          <w:szCs w:val="23"/>
        </w:rPr>
        <w:t>with</w:t>
      </w:r>
      <w:proofErr w:type="gramEnd"/>
      <w:r w:rsidRPr="00A559AA">
        <w:rPr>
          <w:sz w:val="23"/>
          <w:szCs w:val="23"/>
        </w:rPr>
        <w:t xml:space="preserve">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w:t>
      </w:r>
      <w:proofErr w:type="gramStart"/>
      <w:r w:rsidRPr="00A559AA">
        <w:rPr>
          <w:sz w:val="23"/>
          <w:szCs w:val="23"/>
        </w:rPr>
        <w:t>relevant</w:t>
      </w:r>
      <w:proofErr w:type="gramEnd"/>
      <w:r w:rsidRPr="00A559AA">
        <w:rPr>
          <w:sz w:val="23"/>
          <w:szCs w:val="23"/>
        </w:rPr>
        <w:t xml:space="preserve">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to</w:t>
      </w:r>
      <w:proofErr w:type="gramEnd"/>
      <w:r w:rsidRPr="00CB0DE8">
        <w:rPr>
          <w:sz w:val="23"/>
          <w:szCs w:val="23"/>
        </w:rPr>
        <w:t xml:space="preserve">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w:t>
      </w:r>
      <w:proofErr w:type="gramStart"/>
      <w:r w:rsidRPr="00CB0DE8">
        <w:rPr>
          <w:sz w:val="23"/>
          <w:szCs w:val="23"/>
        </w:rPr>
        <w:t>training</w:t>
      </w:r>
      <w:proofErr w:type="gramEnd"/>
      <w:r w:rsidRPr="00CB0DE8">
        <w:rPr>
          <w:sz w:val="23"/>
          <w:szCs w:val="23"/>
        </w:rPr>
        <w:t xml:space="preserve">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w:t>
      </w:r>
      <w:proofErr w:type="gramStart"/>
      <w:r w:rsidRPr="00CB0DE8">
        <w:rPr>
          <w:sz w:val="23"/>
          <w:szCs w:val="23"/>
        </w:rPr>
        <w:t>identification</w:t>
      </w:r>
      <w:proofErr w:type="gramEnd"/>
      <w:r w:rsidRPr="00CB0DE8">
        <w:rPr>
          <w:sz w:val="23"/>
          <w:szCs w:val="23"/>
        </w:rPr>
        <w:t xml:space="preserve">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lastRenderedPageBreak/>
        <w:t>MANDATED PERSON</w:t>
      </w:r>
    </w:p>
    <w:p w:rsidR="00A559AA" w:rsidRDefault="00A559AA" w:rsidP="00F7520F">
      <w:pPr>
        <w:ind w:left="0" w:firstLine="0"/>
      </w:pPr>
      <w:r>
        <w:t xml:space="preserve">The Mandated Person, who has a legal                         </w:t>
      </w:r>
      <w:r w:rsidRPr="008D09DE">
        <w:rPr>
          <w:b/>
        </w:rPr>
        <w:t>GAA/</w:t>
      </w:r>
      <w:proofErr w:type="spellStart"/>
      <w:r w:rsidRPr="008D09DE">
        <w:rPr>
          <w:b/>
        </w:rPr>
        <w:t>Rounders</w:t>
      </w:r>
      <w:proofErr w:type="spellEnd"/>
      <w:r>
        <w:t xml:space="preserve">              </w:t>
      </w:r>
      <w:proofErr w:type="spellStart"/>
      <w:r>
        <w:t>Gearói</w:t>
      </w:r>
      <w:r w:rsidR="008D09DE">
        <w:t>d</w:t>
      </w:r>
      <w:proofErr w:type="spellEnd"/>
      <w:r w:rsidR="008D09DE">
        <w:t xml:space="preserve"> Ó </w:t>
      </w:r>
      <w:proofErr w:type="spellStart"/>
      <w:r w:rsidR="008D09DE">
        <w:t>Maoilmhichíl</w:t>
      </w:r>
      <w:proofErr w:type="spellEnd"/>
      <w:r w:rsidR="008D09DE">
        <w:t xml:space="preserve">               </w:t>
      </w:r>
      <w:r w:rsidRPr="008D09DE">
        <w:rPr>
          <w:i/>
        </w:rPr>
        <w:t>mandatedperson@gaa.ie</w:t>
      </w:r>
    </w:p>
    <w:p w:rsidR="00F7520F" w:rsidRPr="008D09DE" w:rsidRDefault="00A559AA" w:rsidP="00F7520F">
      <w:pPr>
        <w:ind w:left="0" w:firstLine="0"/>
        <w:rPr>
          <w:i/>
        </w:rPr>
      </w:pPr>
      <w:proofErr w:type="gramStart"/>
      <w:r>
        <w:t>obligation</w:t>
      </w:r>
      <w:proofErr w:type="gramEnd"/>
      <w:r>
        <w:t xml:space="preserve">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rsidR="00A559AA" w:rsidRDefault="00A559AA" w:rsidP="00F7520F">
      <w:proofErr w:type="gramStart"/>
      <w:r>
        <w:t>legislation</w:t>
      </w:r>
      <w:proofErr w:type="gramEnd"/>
      <w:r>
        <w:t xml:space="preserve">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proofErr w:type="gramStart"/>
      <w:r>
        <w:t>the</w:t>
      </w:r>
      <w:proofErr w:type="gramEnd"/>
      <w:r>
        <w:t xml:space="preserve"> purpose of performing the child welfare               </w:t>
      </w:r>
      <w:r w:rsidR="008D09DE">
        <w:t xml:space="preserve">  </w:t>
      </w:r>
      <w:r w:rsidRPr="008D09DE">
        <w:rPr>
          <w:b/>
        </w:rPr>
        <w:t xml:space="preserve">LGFA  </w:t>
      </w:r>
      <w:r w:rsidR="008D09DE">
        <w:t xml:space="preserve">                            </w:t>
      </w:r>
      <w:r>
        <w:t xml:space="preserve">Paula </w:t>
      </w:r>
      <w:proofErr w:type="spellStart"/>
      <w:r>
        <w:t>Prunty</w:t>
      </w:r>
      <w:proofErr w:type="spellEnd"/>
      <w:r>
        <w:t xml:space="preserve">    </w:t>
      </w:r>
      <w:r w:rsidR="008D09DE">
        <w:t xml:space="preserve">                               </w:t>
      </w:r>
      <w:r w:rsidRPr="008D09DE">
        <w:rPr>
          <w:i/>
        </w:rPr>
        <w:t>mandatedperson@lgfa.ie</w:t>
      </w:r>
    </w:p>
    <w:p w:rsidR="00A559AA" w:rsidRDefault="00A559AA" w:rsidP="00F7520F">
      <w:proofErr w:type="gramStart"/>
      <w:r>
        <w:t>and</w:t>
      </w:r>
      <w:proofErr w:type="gramEnd"/>
      <w:r>
        <w:t xml:space="preserve">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lang w:val="en-IE" w:eastAsia="en-IE"/>
        </w:rPr>
        <mc:AlternateContent>
          <mc:Choice Requires="wps">
            <w:drawing>
              <wp:anchor distT="0" distB="0" distL="114300" distR="114300" simplePos="0" relativeHeight="251659264" behindDoc="0" locked="0" layoutInCell="1" allowOverlap="1" wp14:anchorId="4D200DA1" wp14:editId="61B7BE3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38260A" w:rsidP="006F4320">
      <w:pPr>
        <w:keepNext/>
        <w:framePr w:dropCap="margin" w:lines="3" w:w="3076" w:wrap="around" w:vAnchor="text" w:hAnchor="page" w:x="11077" w:y="1471"/>
        <w:spacing w:after="0" w:line="946" w:lineRule="exact"/>
        <w:ind w:right="0"/>
        <w:textAlignment w:val="baseline"/>
        <w:rPr>
          <w:position w:val="-10"/>
          <w:sz w:val="24"/>
          <w:szCs w:val="24"/>
        </w:rPr>
      </w:pPr>
      <w:r w:rsidRPr="0038260A">
        <w:rPr>
          <w:position w:val="-10"/>
          <w:sz w:val="24"/>
          <w:szCs w:val="24"/>
        </w:rPr>
        <w:t>Club Childre</w:t>
      </w:r>
      <w:r w:rsidR="00BB2CC8">
        <w:rPr>
          <w:position w:val="-10"/>
          <w:sz w:val="24"/>
          <w:szCs w:val="24"/>
        </w:rPr>
        <w:t>n</w:t>
      </w:r>
      <w:r w:rsidRPr="0038260A">
        <w:rPr>
          <w:position w:val="-10"/>
          <w:sz w:val="24"/>
          <w:szCs w:val="24"/>
        </w:rPr>
        <w:t>’s Officer</w:t>
      </w:r>
    </w:p>
    <w:p w:rsidR="005D7ED5" w:rsidRPr="008D09DE" w:rsidRDefault="006F4320" w:rsidP="0038260A">
      <w:pPr>
        <w:spacing w:after="668"/>
        <w:ind w:right="0" w:firstLine="0"/>
        <w:rPr>
          <w:sz w:val="24"/>
          <w:szCs w:val="24"/>
        </w:rPr>
      </w:pPr>
      <w:r w:rsidRPr="00C704D6">
        <w:rPr>
          <w:noProof/>
          <w:color w:val="006792"/>
          <w:sz w:val="77"/>
          <w:szCs w:val="77"/>
          <w:lang w:val="en-IE" w:eastAsia="en-IE"/>
        </w:rPr>
        <mc:AlternateContent>
          <mc:Choice Requires="wps">
            <w:drawing>
              <wp:anchor distT="0" distB="0" distL="114300" distR="114300" simplePos="0" relativeHeight="251661312" behindDoc="0" locked="0" layoutInCell="1" allowOverlap="1" wp14:anchorId="331F0776" wp14:editId="486DFECD">
                <wp:simplePos x="0" y="0"/>
                <wp:positionH relativeFrom="column">
                  <wp:posOffset>6858635</wp:posOffset>
                </wp:positionH>
                <wp:positionV relativeFrom="paragraph">
                  <wp:posOffset>910590</wp:posOffset>
                </wp:positionV>
                <wp:extent cx="2667000" cy="2743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4320"/>
                        </a:xfrm>
                        <a:prstGeom prst="rect">
                          <a:avLst/>
                        </a:prstGeom>
                        <a:noFill/>
                        <a:ln w="9525">
                          <a:noFill/>
                          <a:miter lim="800000"/>
                          <a:headEnd/>
                          <a:tailEnd/>
                        </a:ln>
                      </wps:spPr>
                      <wps:txbx>
                        <w:txbxContent>
                          <w:p w:rsidR="00C704D6" w:rsidRPr="006F4320" w:rsidRDefault="00C704D6">
                            <w:pPr>
                              <w:rPr>
                                <w:sz w:val="20"/>
                              </w:rPr>
                            </w:pPr>
                            <w:r w:rsidRPr="006F4320">
                              <w:rPr>
                                <w:sz w:val="20"/>
                              </w:rPr>
                              <w:t>Lisa Murphy – lmurpho46@hotmail.com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0.05pt;margin-top:71.7pt;width:21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" filled="f" stroked="f">
                <v:textbox>
                  <w:txbxContent>
                    <w:p w:rsidR="00C704D6" w:rsidRPr="006F4320" w:rsidRDefault="00C704D6">
                      <w:pPr>
                        <w:rPr>
                          <w:sz w:val="20"/>
                        </w:rPr>
                      </w:pPr>
                      <w:r w:rsidRPr="006F4320">
                        <w:rPr>
                          <w:sz w:val="20"/>
                        </w:rPr>
                        <w:t>L</w:t>
                      </w:r>
                      <w:bookmarkStart w:id="1" w:name="_GoBack"/>
                      <w:bookmarkEnd w:id="1"/>
                      <w:r w:rsidRPr="006F4320">
                        <w:rPr>
                          <w:sz w:val="20"/>
                        </w:rPr>
                        <w:t>isa Murphy – lmurpho46@hotmail.com</w:t>
                      </w:r>
                    </w:p>
                  </w:txbxContent>
                </v:textbox>
                <w10:wrap type="square"/>
              </v:shape>
            </w:pict>
          </mc:Fallback>
        </mc:AlternateContent>
      </w:r>
      <w:r w:rsidR="00FF4B40">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Pr>
          <w:sz w:val="24"/>
          <w:szCs w:val="24"/>
        </w:rPr>
        <w:t xml:space="preserve">r to which the </w:t>
      </w:r>
      <w:r w:rsidR="00A310FC">
        <w:rPr>
          <w:sz w:val="24"/>
          <w:szCs w:val="24"/>
        </w:rPr>
        <w:t>statement</w:t>
      </w:r>
      <w:r>
        <w:rPr>
          <w:sz w:val="24"/>
          <w:szCs w:val="24"/>
        </w:rPr>
        <w:t xml:space="preserve"> refers</w:t>
      </w:r>
      <w:r w:rsidR="00A310FC">
        <w:rPr>
          <w:sz w:val="24"/>
          <w:szCs w:val="24"/>
        </w:rPr>
        <w:t xml:space="preserve"> </w:t>
      </w:r>
      <w:proofErr w:type="spellStart"/>
      <w:r w:rsidR="00A310FC">
        <w:rPr>
          <w:sz w:val="24"/>
          <w:szCs w:val="24"/>
        </w:rPr>
        <w:lastRenderedPageBreak/>
        <w:t>refers</w:t>
      </w:r>
      <w:proofErr w:type="spellEnd"/>
      <w:r w:rsidR="00A310FC">
        <w:rPr>
          <w:sz w:val="24"/>
          <w:szCs w:val="24"/>
        </w:rPr>
        <w:t>.</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78"/>
    <w:rsid w:val="000A39D8"/>
    <w:rsid w:val="000C2978"/>
    <w:rsid w:val="0014025C"/>
    <w:rsid w:val="001F7E51"/>
    <w:rsid w:val="00237684"/>
    <w:rsid w:val="00261997"/>
    <w:rsid w:val="0038260A"/>
    <w:rsid w:val="00571A9E"/>
    <w:rsid w:val="005D7ED5"/>
    <w:rsid w:val="006F4320"/>
    <w:rsid w:val="0076233B"/>
    <w:rsid w:val="00841A2D"/>
    <w:rsid w:val="008D09DE"/>
    <w:rsid w:val="00903F1C"/>
    <w:rsid w:val="00935554"/>
    <w:rsid w:val="00A310FC"/>
    <w:rsid w:val="00A559AA"/>
    <w:rsid w:val="00B161C4"/>
    <w:rsid w:val="00B71F77"/>
    <w:rsid w:val="00BB2CC8"/>
    <w:rsid w:val="00C704D6"/>
    <w:rsid w:val="00CB0DE8"/>
    <w:rsid w:val="00CD154D"/>
    <w:rsid w:val="00CF26C6"/>
    <w:rsid w:val="00DE2988"/>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76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3B"/>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 w:type="paragraph" w:styleId="BalloonText">
    <w:name w:val="Balloon Text"/>
    <w:basedOn w:val="Normal"/>
    <w:link w:val="BalloonTextChar"/>
    <w:uiPriority w:val="99"/>
    <w:semiHidden/>
    <w:unhideWhenUsed/>
    <w:rsid w:val="0076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3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Harte</dc:creator>
  <cp:lastModifiedBy>Kitchen</cp:lastModifiedBy>
  <cp:revision>2</cp:revision>
  <dcterms:created xsi:type="dcterms:W3CDTF">2020-03-11T20:21:00Z</dcterms:created>
  <dcterms:modified xsi:type="dcterms:W3CDTF">2020-03-11T20:21:00Z</dcterms:modified>
</cp:coreProperties>
</file>